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EE1" w:rsidRDefault="00B67EE1" w:rsidP="00B67EE1">
      <w:pPr>
        <w:spacing w:line="360" w:lineRule="auto"/>
        <w:jc w:val="center"/>
        <w:rPr>
          <w:rFonts w:cs="B Nazanin"/>
          <w:b/>
          <w:bCs/>
          <w:sz w:val="26"/>
          <w:szCs w:val="26"/>
          <w:rtl/>
        </w:rPr>
      </w:pPr>
      <w:bookmarkStart w:id="0" w:name="_GoBack"/>
      <w:bookmarkEnd w:id="0"/>
    </w:p>
    <w:p w:rsidR="00B67EE1" w:rsidRDefault="00B67EE1" w:rsidP="00B67EE1">
      <w:pPr>
        <w:spacing w:line="360" w:lineRule="auto"/>
        <w:jc w:val="center"/>
        <w:rPr>
          <w:rFonts w:cs="B Nazanin"/>
          <w:b/>
          <w:bCs/>
          <w:sz w:val="26"/>
          <w:szCs w:val="26"/>
          <w:rtl/>
        </w:rPr>
      </w:pPr>
    </w:p>
    <w:p w:rsidR="00B67EE1" w:rsidRDefault="00B67EE1" w:rsidP="00B67EE1">
      <w:pPr>
        <w:spacing w:line="360" w:lineRule="auto"/>
        <w:jc w:val="center"/>
        <w:rPr>
          <w:rFonts w:cs="B Nazanin"/>
          <w:b/>
          <w:bCs/>
          <w:sz w:val="26"/>
          <w:szCs w:val="26"/>
          <w:rtl/>
        </w:rPr>
      </w:pPr>
    </w:p>
    <w:p w:rsidR="00B67EE1" w:rsidRDefault="00B67EE1" w:rsidP="00B67EE1">
      <w:pPr>
        <w:spacing w:line="240" w:lineRule="auto"/>
        <w:jc w:val="center"/>
        <w:rPr>
          <w:rFonts w:cs="B Nazanin"/>
          <w:b/>
          <w:bCs/>
          <w:sz w:val="26"/>
          <w:szCs w:val="26"/>
          <w:rtl/>
        </w:rPr>
      </w:pPr>
    </w:p>
    <w:p w:rsidR="00B67EE1" w:rsidRPr="00ED44FC" w:rsidRDefault="00B67EE1" w:rsidP="00A07F2B">
      <w:pPr>
        <w:pStyle w:val="a"/>
        <w:rPr>
          <w:rtl/>
        </w:rPr>
      </w:pPr>
      <w:r w:rsidRPr="00ED44FC">
        <w:rPr>
          <w:rFonts w:hint="cs"/>
          <w:rtl/>
        </w:rPr>
        <w:t>فصل دوم</w:t>
      </w:r>
    </w:p>
    <w:p w:rsidR="00B67EE1" w:rsidRPr="00ED44FC" w:rsidRDefault="00B67EE1" w:rsidP="00A07F2B">
      <w:pPr>
        <w:pStyle w:val="a"/>
        <w:rPr>
          <w:rtl/>
        </w:rPr>
      </w:pPr>
      <w:r w:rsidRPr="00ED44FC">
        <w:rPr>
          <w:rFonts w:hint="cs"/>
          <w:rtl/>
        </w:rPr>
        <w:t>مروری بر پیشینه موضوع</w:t>
      </w:r>
    </w:p>
    <w:p w:rsidR="00B67EE1" w:rsidRPr="00B67EE1" w:rsidRDefault="00B67EE1" w:rsidP="00B67EE1">
      <w:pPr>
        <w:rPr>
          <w:rFonts w:cs="B Nazanin"/>
          <w:b/>
          <w:bCs/>
          <w:sz w:val="24"/>
          <w:szCs w:val="24"/>
          <w:rtl/>
        </w:rPr>
      </w:pPr>
    </w:p>
    <w:p w:rsidR="00B67EE1" w:rsidRPr="00B67EE1" w:rsidRDefault="00ED44FC" w:rsidP="00A07F2B">
      <w:pPr>
        <w:pStyle w:val="Heading1"/>
        <w:rPr>
          <w:rtl/>
        </w:rPr>
      </w:pPr>
      <w:bookmarkStart w:id="1" w:name="_Toc452134269"/>
      <w:bookmarkStart w:id="2" w:name="_Toc452245002"/>
      <w:bookmarkStart w:id="3" w:name="_Toc452245150"/>
      <w:bookmarkStart w:id="4" w:name="_Toc452245264"/>
      <w:bookmarkStart w:id="5" w:name="_Toc452245334"/>
      <w:bookmarkStart w:id="6" w:name="_Toc452245382"/>
      <w:bookmarkStart w:id="7" w:name="_Toc452245474"/>
      <w:bookmarkStart w:id="8" w:name="_Toc452246241"/>
      <w:bookmarkStart w:id="9" w:name="_Toc452249051"/>
      <w:bookmarkStart w:id="10" w:name="_Toc452249958"/>
      <w:bookmarkStart w:id="11" w:name="_Toc452250526"/>
      <w:bookmarkStart w:id="12" w:name="_Toc452252840"/>
      <w:bookmarkStart w:id="13" w:name="_Toc452253944"/>
      <w:bookmarkStart w:id="14" w:name="_Toc452254759"/>
      <w:r>
        <w:rPr>
          <w:rFonts w:hint="cs"/>
          <w:rtl/>
        </w:rPr>
        <w:t xml:space="preserve">1-2 </w:t>
      </w:r>
      <w:r w:rsidR="00B67EE1" w:rsidRPr="00B67EE1">
        <w:rPr>
          <w:rFonts w:hint="cs"/>
          <w:rtl/>
        </w:rPr>
        <w:t xml:space="preserve"> عوامل موثر در مدیریت و عملکرد سم</w:t>
      </w:r>
      <w:r w:rsidR="00B67EE1" w:rsidRPr="00B67EE1">
        <w:rPr>
          <w:rtl/>
        </w:rPr>
        <w:softHyphen/>
      </w:r>
      <w:r w:rsidR="00B67EE1" w:rsidRPr="00B67EE1">
        <w:rPr>
          <w:rFonts w:hint="cs"/>
          <w:rtl/>
        </w:rPr>
        <w:t>پاش بوم</w:t>
      </w:r>
      <w:r w:rsidR="00B67EE1" w:rsidRPr="00B67EE1">
        <w:rPr>
          <w:rtl/>
        </w:rPr>
        <w:softHyphen/>
      </w:r>
      <w:r w:rsidR="00B67EE1" w:rsidRPr="00B67EE1">
        <w:rPr>
          <w:rFonts w:hint="cs"/>
          <w:rtl/>
        </w:rPr>
        <w:t>دار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B67EE1" w:rsidRPr="00B67EE1" w:rsidRDefault="00B67EE1" w:rsidP="00A07F2B">
      <w:pPr>
        <w:pStyle w:val="a0"/>
        <w:rPr>
          <w:rtl/>
        </w:rPr>
      </w:pPr>
      <w:r w:rsidRPr="00B67EE1">
        <w:rPr>
          <w:rtl/>
        </w:rPr>
        <w:t xml:space="preserve"> </w:t>
      </w:r>
      <w:r w:rsidR="00B81F96">
        <w:rPr>
          <w:rFonts w:hint="cs"/>
          <w:rtl/>
        </w:rPr>
        <w:t>عملکرد یک سم</w:t>
      </w:r>
      <w:r w:rsidR="00B81F96">
        <w:rPr>
          <w:rtl/>
        </w:rPr>
        <w:softHyphen/>
      </w:r>
      <w:r w:rsidR="00B81F96">
        <w:rPr>
          <w:rFonts w:hint="cs"/>
          <w:rtl/>
        </w:rPr>
        <w:t>پاش بطور کلی براساس یکنواختی پاشش، الگوی پخش، اندازه قطره، میزان نشست سم بر هدف (گیاه) و میزان بادبردگی مشخص می</w:t>
      </w:r>
      <w:r w:rsidR="00B81F96">
        <w:rPr>
          <w:rtl/>
        </w:rPr>
        <w:softHyphen/>
      </w:r>
      <w:r w:rsidR="00B81F96">
        <w:rPr>
          <w:rFonts w:hint="cs"/>
          <w:rtl/>
        </w:rPr>
        <w:t xml:space="preserve">شود. </w:t>
      </w:r>
      <w:r w:rsidRPr="00B67EE1">
        <w:rPr>
          <w:rFonts w:hint="cs"/>
          <w:rtl/>
        </w:rPr>
        <w:t>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</w:t>
      </w:r>
      <w:r w:rsidR="00A138F1">
        <w:rPr>
          <w:rtl/>
        </w:rPr>
        <w:softHyphen/>
      </w:r>
      <w:r w:rsidR="00A138F1">
        <w:rPr>
          <w:rFonts w:hint="cs"/>
          <w:rtl/>
        </w:rPr>
        <w:t>های</w:t>
      </w:r>
      <w:r w:rsidRPr="00B67EE1">
        <w:rPr>
          <w:rFonts w:hint="cs"/>
          <w:rtl/>
        </w:rPr>
        <w:t xml:space="preserve"> بوم</w:t>
      </w:r>
      <w:r w:rsidRPr="00B67EE1">
        <w:rPr>
          <w:rtl/>
        </w:rPr>
        <w:softHyphen/>
      </w:r>
      <w:r w:rsidRPr="00B67EE1">
        <w:rPr>
          <w:rFonts w:hint="cs"/>
          <w:rtl/>
        </w:rPr>
        <w:t>دار پشت تراکتوری</w:t>
      </w:r>
      <w:r w:rsidR="00A138F1">
        <w:rPr>
          <w:rStyle w:val="FootnoteReference"/>
          <w:sz w:val="26"/>
          <w:rtl/>
        </w:rPr>
        <w:footnoteReference w:id="2"/>
      </w:r>
      <w:r w:rsidRPr="00B67EE1">
        <w:rPr>
          <w:rFonts w:hint="cs"/>
          <w:rtl/>
        </w:rPr>
        <w:t xml:space="preserve"> با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هدف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افزایش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نفوذ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پذیری افشانک،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کاهش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بادبردگی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و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همچنین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فراهم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کردن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یک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پوشش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همگن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در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سطح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هدف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توسعه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یافته</w:t>
      </w:r>
      <w:r w:rsidRPr="00B67EE1">
        <w:rPr>
          <w:rtl/>
        </w:rPr>
        <w:softHyphen/>
      </w:r>
      <w:r w:rsidRPr="00B67EE1">
        <w:rPr>
          <w:rFonts w:hint="cs"/>
          <w:rtl/>
        </w:rPr>
        <w:t>اند (پیچ</w:t>
      </w:r>
      <w:r w:rsidRPr="00B67EE1">
        <w:rPr>
          <w:vertAlign w:val="superscript"/>
          <w:rtl/>
        </w:rPr>
        <w:footnoteReference w:id="3"/>
      </w:r>
      <w:r w:rsidRPr="00B67EE1">
        <w:rPr>
          <w:rFonts w:hint="cs"/>
          <w:rtl/>
        </w:rPr>
        <w:t>و همکاران،</w:t>
      </w:r>
      <w:r w:rsidRPr="00B67EE1">
        <w:rPr>
          <w:rFonts w:asciiTheme="majorBidi" w:hAnsiTheme="majorBidi" w:cstheme="majorBidi"/>
          <w:sz w:val="24"/>
          <w:szCs w:val="24"/>
        </w:rPr>
        <w:t>a</w:t>
      </w:r>
      <w:r w:rsidRPr="00B67EE1">
        <w:t xml:space="preserve"> </w:t>
      </w:r>
      <w:r w:rsidRPr="00B67EE1">
        <w:rPr>
          <w:rFonts w:hint="cs"/>
          <w:rtl/>
        </w:rPr>
        <w:t>2000</w:t>
      </w:r>
      <w:r w:rsidR="00663255">
        <w:rPr>
          <w:rFonts w:hint="cs"/>
          <w:rtl/>
        </w:rPr>
        <w:t>: 34</w:t>
      </w:r>
      <w:r w:rsidRPr="00B67EE1">
        <w:rPr>
          <w:rFonts w:hint="cs"/>
          <w:rtl/>
        </w:rPr>
        <w:t>). بر طبق بررسی</w:t>
      </w:r>
      <w:r w:rsidRPr="00B67EE1">
        <w:rPr>
          <w:rtl/>
        </w:rPr>
        <w:softHyphen/>
      </w:r>
      <w:r w:rsidRPr="00B67EE1">
        <w:rPr>
          <w:rFonts w:hint="cs"/>
          <w:rtl/>
        </w:rPr>
        <w:t>های آرویدسون</w:t>
      </w:r>
      <w:r w:rsidRPr="00B67EE1">
        <w:rPr>
          <w:vertAlign w:val="superscript"/>
          <w:rtl/>
        </w:rPr>
        <w:footnoteReference w:id="4"/>
      </w:r>
      <w:r w:rsidRPr="00B67EE1">
        <w:rPr>
          <w:rFonts w:hint="cs"/>
          <w:rtl/>
        </w:rPr>
        <w:t xml:space="preserve"> و همکاران (2011) بادبردگی افشانک به شدت توسط بسیاری از عوامل از جمله تجهیزات و تکنیک</w:t>
      </w:r>
      <w:r w:rsidRPr="00B67EE1">
        <w:rPr>
          <w:rtl/>
        </w:rPr>
        <w:softHyphen/>
      </w:r>
      <w:r w:rsidRPr="00B67EE1">
        <w:rPr>
          <w:rFonts w:hint="cs"/>
          <w:rtl/>
        </w:rPr>
        <w:t>های کاربردی، ویژگی</w:t>
      </w:r>
      <w:r w:rsidRPr="00B67EE1">
        <w:rPr>
          <w:rtl/>
        </w:rPr>
        <w:softHyphen/>
      </w:r>
      <w:r w:rsidRPr="00B67EE1">
        <w:rPr>
          <w:rFonts w:hint="cs"/>
          <w:rtl/>
        </w:rPr>
        <w:t>های افشانک، مراقبت اپراتور و مهارت تحت تاثیر قرار می</w:t>
      </w:r>
      <w:r w:rsidRPr="00B67EE1">
        <w:rPr>
          <w:rtl/>
        </w:rPr>
        <w:softHyphen/>
      </w:r>
      <w:r w:rsidRPr="00B67EE1">
        <w:rPr>
          <w:rFonts w:hint="cs"/>
          <w:rtl/>
        </w:rPr>
        <w:t>گیرد</w:t>
      </w:r>
      <w:r>
        <w:rPr>
          <w:rFonts w:hint="cs"/>
          <w:rtl/>
        </w:rPr>
        <w:t xml:space="preserve"> و </w:t>
      </w:r>
      <w:r w:rsidRPr="00B67EE1">
        <w:rPr>
          <w:rFonts w:hint="cs"/>
          <w:rtl/>
        </w:rPr>
        <w:t>اصلی</w:t>
      </w:r>
      <w:r w:rsidRPr="00B67EE1">
        <w:rPr>
          <w:rtl/>
        </w:rPr>
        <w:softHyphen/>
      </w:r>
      <w:r w:rsidRPr="00B67EE1">
        <w:rPr>
          <w:rFonts w:hint="cs"/>
          <w:rtl/>
        </w:rPr>
        <w:t>ترین عوامل شامل اندازه قطرات، ارتفاع افشانک، سرعت باد و متغیرهای مربوط به نصب و راه</w:t>
      </w:r>
      <w:r w:rsidRPr="00B67EE1">
        <w:rPr>
          <w:rFonts w:hint="cs"/>
          <w:rtl/>
        </w:rPr>
        <w:softHyphen/>
        <w:t>اندازی افشانک در بوم می</w:t>
      </w:r>
      <w:r w:rsidRPr="00B67EE1">
        <w:rPr>
          <w:rtl/>
        </w:rPr>
        <w:softHyphen/>
      </w:r>
      <w:r w:rsidRPr="00B67EE1">
        <w:rPr>
          <w:rFonts w:hint="cs"/>
          <w:rtl/>
        </w:rPr>
        <w:t xml:space="preserve">باشد </w:t>
      </w:r>
      <w:r w:rsidRPr="00663255">
        <w:rPr>
          <w:rFonts w:hint="cs"/>
          <w:highlight w:val="yellow"/>
          <w:rtl/>
        </w:rPr>
        <w:t>(میلر</w:t>
      </w:r>
      <w:r w:rsidRPr="00663255">
        <w:rPr>
          <w:highlight w:val="yellow"/>
          <w:vertAlign w:val="superscript"/>
          <w:rtl/>
        </w:rPr>
        <w:footnoteReference w:id="5"/>
      </w:r>
      <w:r w:rsidRPr="00663255">
        <w:rPr>
          <w:rFonts w:hint="cs"/>
          <w:highlight w:val="yellow"/>
          <w:rtl/>
        </w:rPr>
        <w:t xml:space="preserve"> و همکاران، 2011</w:t>
      </w:r>
      <w:r w:rsidR="00663255" w:rsidRPr="00663255">
        <w:rPr>
          <w:rFonts w:hint="cs"/>
          <w:highlight w:val="yellow"/>
          <w:rtl/>
        </w:rPr>
        <w:t>: 345</w:t>
      </w:r>
      <w:r w:rsidRPr="00663255">
        <w:rPr>
          <w:rFonts w:hint="cs"/>
          <w:highlight w:val="yellow"/>
          <w:rtl/>
        </w:rPr>
        <w:t>)</w:t>
      </w:r>
      <w:r w:rsidRPr="00B67EE1">
        <w:rPr>
          <w:rFonts w:hint="cs"/>
          <w:rtl/>
        </w:rPr>
        <w:t>.</w:t>
      </w:r>
    </w:p>
    <w:p w:rsidR="00B67EE1" w:rsidRPr="00B67EE1" w:rsidRDefault="00B67EE1" w:rsidP="00A07F2B">
      <w:pPr>
        <w:pStyle w:val="Heading1"/>
        <w:rPr>
          <w:rtl/>
        </w:rPr>
      </w:pPr>
      <w:bookmarkStart w:id="15" w:name="_Toc452134270"/>
      <w:bookmarkStart w:id="16" w:name="_Toc452245003"/>
      <w:bookmarkStart w:id="17" w:name="_Toc452245151"/>
      <w:bookmarkStart w:id="18" w:name="_Toc452245265"/>
      <w:bookmarkStart w:id="19" w:name="_Toc452245335"/>
      <w:bookmarkStart w:id="20" w:name="_Toc452245383"/>
      <w:bookmarkStart w:id="21" w:name="_Toc452245475"/>
      <w:bookmarkStart w:id="22" w:name="_Toc452246242"/>
      <w:bookmarkStart w:id="23" w:name="_Toc452249052"/>
      <w:bookmarkStart w:id="24" w:name="_Toc452249959"/>
      <w:bookmarkStart w:id="25" w:name="_Toc452250527"/>
      <w:bookmarkStart w:id="26" w:name="_Toc452252841"/>
      <w:bookmarkStart w:id="27" w:name="_Toc452253945"/>
      <w:bookmarkStart w:id="28" w:name="_Toc452254760"/>
      <w:r w:rsidRPr="00B67EE1">
        <w:rPr>
          <w:rFonts w:hint="cs"/>
          <w:rtl/>
        </w:rPr>
        <w:t>2-2 تاثیر نوع افشانک بر کیفیت پاشش و میزان بادبردگی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B67EE1" w:rsidRPr="00B67EE1" w:rsidRDefault="00B67EE1" w:rsidP="00A07F2B">
      <w:pPr>
        <w:pStyle w:val="a0"/>
        <w:rPr>
          <w:rtl/>
        </w:rPr>
      </w:pPr>
      <w:r w:rsidRPr="00B67EE1">
        <w:rPr>
          <w:rFonts w:hint="cs"/>
          <w:rtl/>
        </w:rPr>
        <w:t>دی چم فلر</w:t>
      </w:r>
      <w:r w:rsidRPr="00B67EE1">
        <w:rPr>
          <w:vertAlign w:val="superscript"/>
          <w:rtl/>
        </w:rPr>
        <w:footnoteReference w:id="6"/>
      </w:r>
      <w:r w:rsidRPr="00B67EE1">
        <w:rPr>
          <w:rFonts w:hint="cs"/>
          <w:rtl/>
        </w:rPr>
        <w:t xml:space="preserve"> و همکاران (2008) بادبردگی افشانک را با هدف بررسی اندازه</w:t>
      </w:r>
      <w:r w:rsidRPr="00B67EE1">
        <w:rPr>
          <w:rFonts w:hint="cs"/>
          <w:rtl/>
        </w:rPr>
        <w:softHyphen/>
        <w:t>گیری کاهش بادبردگی در محصولات زراعی بلژیک مورد بررسی قرار دادند، نت</w:t>
      </w:r>
      <w:r w:rsidR="00A23CA3">
        <w:rPr>
          <w:rFonts w:hint="cs"/>
          <w:rtl/>
        </w:rPr>
        <w:t>ایج نشان داد که در بلژیک افشانک با دامنه بادبردگی کم</w:t>
      </w:r>
      <w:r w:rsidRPr="00B67EE1">
        <w:rPr>
          <w:vertAlign w:val="superscript"/>
          <w:rtl/>
        </w:rPr>
        <w:footnoteReference w:id="7"/>
      </w:r>
      <w:r w:rsidR="00814B6F">
        <w:rPr>
          <w:rFonts w:hint="cs"/>
          <w:rtl/>
        </w:rPr>
        <w:t>،</w:t>
      </w:r>
      <w:r w:rsidRPr="00B67EE1">
        <w:rPr>
          <w:rtl/>
        </w:rPr>
        <w:t xml:space="preserve"> </w:t>
      </w:r>
      <w:r w:rsidRPr="00B67EE1">
        <w:rPr>
          <w:rFonts w:hint="cs"/>
          <w:rtl/>
        </w:rPr>
        <w:t>بادبردگی را 50 درصد کاهش می</w:t>
      </w:r>
      <w:r w:rsidRPr="00B67EE1">
        <w:rPr>
          <w:rFonts w:hint="cs"/>
          <w:rtl/>
        </w:rPr>
        <w:softHyphen/>
        <w:t>دهد، و اندازه</w:t>
      </w:r>
      <w:r w:rsidRPr="00B67EE1">
        <w:rPr>
          <w:rFonts w:hint="cs"/>
          <w:rtl/>
        </w:rPr>
        <w:softHyphen/>
        <w:t>گیری با افشانک هاردی ایزو</w:t>
      </w:r>
      <w:r w:rsidRPr="00B67EE1">
        <w:rPr>
          <w:vertAlign w:val="superscript"/>
          <w:rtl/>
        </w:rPr>
        <w:footnoteReference w:id="8"/>
      </w:r>
      <w:r w:rsidRPr="00B67EE1">
        <w:rPr>
          <w:rFonts w:hint="cs"/>
          <w:rtl/>
        </w:rPr>
        <w:t xml:space="preserve"> کاهش 25 درصدی بادبردگی را </w:t>
      </w:r>
      <w:r w:rsidRPr="00B67EE1">
        <w:rPr>
          <w:rFonts w:hint="cs"/>
          <w:rtl/>
        </w:rPr>
        <w:lastRenderedPageBreak/>
        <w:t>داشت (لازم به ذکر است که نتایج این پژوهش در افشانک</w:t>
      </w:r>
      <w:r w:rsidRPr="00B67EE1">
        <w:t xml:space="preserve"> </w:t>
      </w:r>
      <w:r w:rsidRPr="00B67EE1">
        <w:rPr>
          <w:rFonts w:hint="cs"/>
          <w:rtl/>
        </w:rPr>
        <w:t>هاردی ایزو در فشار 3/0 مگا پاسکال به دست آمد)، همچنین در افشانک</w:t>
      </w:r>
      <w:r w:rsidR="00A23CA3">
        <w:rPr>
          <w:rFonts w:hint="cs"/>
          <w:rtl/>
        </w:rPr>
        <w:t xml:space="preserve"> هوا القایی</w:t>
      </w:r>
      <w:r w:rsidR="00A23CA3">
        <w:rPr>
          <w:rStyle w:val="FootnoteReference"/>
          <w:sz w:val="26"/>
          <w:rtl/>
        </w:rPr>
        <w:footnoteReference w:id="9"/>
      </w:r>
      <w:r w:rsidRPr="00B67EE1">
        <w:rPr>
          <w:rtl/>
        </w:rPr>
        <w:t>،</w:t>
      </w:r>
      <w:r w:rsidRPr="00B67EE1">
        <w:rPr>
          <w:rFonts w:hint="cs"/>
          <w:rtl/>
        </w:rPr>
        <w:t xml:space="preserve"> کاهش بادبردگی از 75 درصد تا 90 درصد مشاهده شد</w:t>
      </w:r>
      <w:r w:rsidRPr="00B67EE1">
        <w:rPr>
          <w:rFonts w:hint="cs"/>
          <w:b/>
          <w:bCs/>
          <w:rtl/>
        </w:rPr>
        <w:t>.</w:t>
      </w:r>
      <w:r w:rsidRPr="00B67EE1">
        <w:rPr>
          <w:rFonts w:hint="cs"/>
          <w:rtl/>
        </w:rPr>
        <w:t xml:space="preserve"> در تحقیقاتی دیگر ساینسی و باستابن </w:t>
      </w:r>
      <w:r w:rsidRPr="00B67EE1">
        <w:rPr>
          <w:vertAlign w:val="superscript"/>
          <w:rtl/>
        </w:rPr>
        <w:footnoteReference w:id="10"/>
      </w:r>
      <w:r w:rsidRPr="00B67EE1">
        <w:rPr>
          <w:rFonts w:hint="cs"/>
          <w:rtl/>
        </w:rPr>
        <w:t>(2011) یکنواختی توزیع پاشش انواع مختلف افشانک و نشست آن</w:t>
      </w:r>
      <w:r w:rsidRPr="00B67EE1">
        <w:rPr>
          <w:rtl/>
        </w:rPr>
        <w:softHyphen/>
      </w:r>
      <w:r w:rsidRPr="00B67EE1">
        <w:rPr>
          <w:rFonts w:hint="cs"/>
          <w:rtl/>
        </w:rPr>
        <w:t>ها را در گیاه سیب</w:t>
      </w:r>
      <w:r w:rsidRPr="00B67EE1">
        <w:rPr>
          <w:rtl/>
        </w:rPr>
        <w:softHyphen/>
      </w:r>
      <w:r w:rsidRPr="00B67EE1">
        <w:rPr>
          <w:rFonts w:hint="cs"/>
          <w:rtl/>
        </w:rPr>
        <w:t>زمینی مورد بررسی قرار دادند، نتایج آزمایش</w:t>
      </w:r>
      <w:r w:rsidRPr="00B67EE1">
        <w:rPr>
          <w:rtl/>
        </w:rPr>
        <w:softHyphen/>
      </w:r>
      <w:r w:rsidRPr="00B67EE1">
        <w:rPr>
          <w:rFonts w:hint="cs"/>
          <w:rtl/>
        </w:rPr>
        <w:t>های آن</w:t>
      </w:r>
      <w:r w:rsidRPr="00B67EE1">
        <w:rPr>
          <w:rtl/>
        </w:rPr>
        <w:softHyphen/>
      </w:r>
      <w:r w:rsidRPr="00B67EE1">
        <w:rPr>
          <w:rFonts w:hint="cs"/>
          <w:rtl/>
        </w:rPr>
        <w:t>ها نشان داد که بهترین توزیع یکنواختی پاشش (</w:t>
      </w:r>
      <w:r w:rsidRPr="00B67EE1">
        <w:rPr>
          <w:rFonts w:asciiTheme="majorBidi" w:hAnsiTheme="majorBidi" w:cstheme="majorBidi"/>
          <w:sz w:val="24"/>
          <w:szCs w:val="24"/>
        </w:rPr>
        <w:t>CV</w:t>
      </w:r>
      <w:r w:rsidRPr="00B67EE1">
        <w:rPr>
          <w:rFonts w:hint="cs"/>
          <w:rtl/>
        </w:rPr>
        <w:t>)</w:t>
      </w:r>
      <w:r w:rsidRPr="00B67EE1">
        <w:rPr>
          <w:vertAlign w:val="superscript"/>
          <w:rtl/>
        </w:rPr>
        <w:footnoteReference w:id="11"/>
      </w:r>
      <w:r w:rsidRPr="00B67EE1">
        <w:rPr>
          <w:rFonts w:hint="cs"/>
          <w:rtl/>
        </w:rPr>
        <w:t xml:space="preserve"> برای افشانک </w:t>
      </w:r>
      <w:r w:rsidRPr="00B67EE1">
        <w:rPr>
          <w:sz w:val="24"/>
          <w:szCs w:val="24"/>
        </w:rPr>
        <w:t>AI</w:t>
      </w:r>
      <w:r w:rsidRPr="00B67EE1">
        <w:rPr>
          <w:rFonts w:hint="cs"/>
          <w:rtl/>
        </w:rPr>
        <w:t xml:space="preserve"> با 4/16 درصد و بالاترین مقدار برای افشانک</w:t>
      </w:r>
      <w:r w:rsidRPr="00B67EE1">
        <w:rPr>
          <w:rtl/>
        </w:rPr>
        <w:softHyphen/>
      </w:r>
      <w:r w:rsidRPr="00B67EE1">
        <w:rPr>
          <w:rFonts w:hint="cs"/>
          <w:rtl/>
        </w:rPr>
        <w:t xml:space="preserve">های </w:t>
      </w:r>
      <w:r w:rsidRPr="00B67EE1">
        <w:rPr>
          <w:rFonts w:asciiTheme="majorBidi" w:hAnsiTheme="majorBidi" w:cstheme="majorBidi"/>
          <w:sz w:val="24"/>
          <w:szCs w:val="24"/>
        </w:rPr>
        <w:t>AR</w:t>
      </w:r>
      <w:r w:rsidRPr="00B67EE1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Pr="00B67EE1">
        <w:rPr>
          <w:rFonts w:asciiTheme="majorBidi" w:hAnsiTheme="majorBidi" w:cstheme="majorBidi"/>
          <w:sz w:val="24"/>
          <w:szCs w:val="24"/>
        </w:rPr>
        <w:t>HC</w:t>
      </w:r>
      <w:r w:rsidRPr="00B67EE1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Pr="00B67EE1">
        <w:rPr>
          <w:rFonts w:asciiTheme="majorBidi" w:hAnsiTheme="majorBidi" w:cstheme="majorBidi"/>
          <w:sz w:val="24"/>
          <w:szCs w:val="24"/>
        </w:rPr>
        <w:t>SD</w:t>
      </w:r>
      <w:r w:rsidRPr="00B67EE1">
        <w:rPr>
          <w:rFonts w:hint="cs"/>
          <w:rtl/>
        </w:rPr>
        <w:t xml:space="preserve"> به ترتیب با 9/43، 4/40 و 5/46 درصد بوده است. همچنین هیویو زاو</w:t>
      </w:r>
      <w:r w:rsidRPr="00B67EE1">
        <w:rPr>
          <w:vertAlign w:val="superscript"/>
          <w:rtl/>
        </w:rPr>
        <w:footnoteReference w:id="12"/>
      </w:r>
      <w:r w:rsidRPr="00B67EE1">
        <w:rPr>
          <w:rFonts w:hint="cs"/>
          <w:rtl/>
        </w:rPr>
        <w:t xml:space="preserve"> و همکاران (2014) تحقیقاتی برای تعیین بادبردگی افشانک و باقی</w:t>
      </w:r>
      <w:r w:rsidRPr="00B67EE1">
        <w:rPr>
          <w:rFonts w:hint="cs"/>
          <w:rtl/>
        </w:rPr>
        <w:softHyphen/>
        <w:t>مانده آفت</w:t>
      </w:r>
      <w:r w:rsidRPr="00B67EE1">
        <w:rPr>
          <w:rFonts w:hint="cs"/>
          <w:rtl/>
        </w:rPr>
        <w:softHyphen/>
        <w:t>کش ایمیداکلوپرید</w:t>
      </w:r>
      <w:r w:rsidRPr="00B67EE1">
        <w:rPr>
          <w:vertAlign w:val="superscript"/>
          <w:rtl/>
        </w:rPr>
        <w:footnoteReference w:id="13"/>
      </w:r>
      <w:r w:rsidRPr="00B67EE1">
        <w:rPr>
          <w:rFonts w:hint="cs"/>
          <w:rtl/>
        </w:rPr>
        <w:t xml:space="preserve"> در گندم را انجام دادند، نتایج بررسی</w:t>
      </w:r>
      <w:r w:rsidRPr="00B67EE1">
        <w:rPr>
          <w:rtl/>
        </w:rPr>
        <w:softHyphen/>
      </w:r>
      <w:r w:rsidRPr="00B67EE1">
        <w:rPr>
          <w:rFonts w:hint="cs"/>
          <w:rtl/>
        </w:rPr>
        <w:t>ها نشان داد که هر دو بادبردگی و نشست هوابرد</w:t>
      </w:r>
      <w:r w:rsidRPr="00B67EE1">
        <w:rPr>
          <w:vertAlign w:val="superscript"/>
          <w:rtl/>
        </w:rPr>
        <w:footnoteReference w:id="14"/>
      </w:r>
      <w:r w:rsidRPr="00B67EE1">
        <w:rPr>
          <w:rFonts w:hint="cs"/>
          <w:rtl/>
        </w:rPr>
        <w:t xml:space="preserve"> افشانک، برای افشانک </w:t>
      </w:r>
      <w:r w:rsidRPr="00B67EE1">
        <w:rPr>
          <w:rFonts w:asciiTheme="majorBidi" w:hAnsiTheme="majorBidi" w:cstheme="majorBidi"/>
        </w:rPr>
        <w:t xml:space="preserve"> </w:t>
      </w:r>
      <w:r w:rsidRPr="00B67EE1">
        <w:rPr>
          <w:rFonts w:asciiTheme="majorBidi" w:hAnsiTheme="majorBidi" w:cstheme="majorBidi"/>
          <w:sz w:val="24"/>
          <w:szCs w:val="24"/>
        </w:rPr>
        <w:t>LU 120-02</w:t>
      </w:r>
      <w:r w:rsidRPr="00B67EE1">
        <w:rPr>
          <w:rFonts w:asciiTheme="majorBidi" w:hAnsiTheme="majorBidi"/>
          <w:rtl/>
        </w:rPr>
        <w:t>بیش</w:t>
      </w:r>
      <w:r w:rsidRPr="00B67EE1">
        <w:rPr>
          <w:rFonts w:asciiTheme="majorBidi" w:hAnsiTheme="majorBidi"/>
          <w:rtl/>
        </w:rPr>
        <w:softHyphen/>
        <w:t xml:space="preserve">ترین </w:t>
      </w:r>
      <w:r w:rsidRPr="00B67EE1">
        <w:rPr>
          <w:rFonts w:hint="cs"/>
          <w:rtl/>
        </w:rPr>
        <w:t>مقدار، برای افشانک</w:t>
      </w:r>
      <w:r w:rsidRPr="00B67EE1">
        <w:t xml:space="preserve"> </w:t>
      </w:r>
      <w:r w:rsidRPr="00B67EE1">
        <w:rPr>
          <w:sz w:val="24"/>
          <w:szCs w:val="24"/>
        </w:rPr>
        <w:t>IDK</w:t>
      </w:r>
      <w:r w:rsidRPr="00B67EE1">
        <w:t xml:space="preserve"> </w:t>
      </w:r>
      <w:r w:rsidRPr="00B67EE1">
        <w:rPr>
          <w:rFonts w:hint="cs"/>
          <w:rtl/>
        </w:rPr>
        <w:t xml:space="preserve">متوسط و برای افشانک </w:t>
      </w:r>
      <w:r w:rsidRPr="00B67EE1">
        <w:rPr>
          <w:rFonts w:asciiTheme="majorBidi" w:hAnsiTheme="majorBidi" w:cstheme="majorBidi"/>
        </w:rPr>
        <w:t xml:space="preserve"> </w:t>
      </w:r>
      <w:r w:rsidRPr="00B67EE1">
        <w:rPr>
          <w:rFonts w:asciiTheme="majorBidi" w:hAnsiTheme="majorBidi" w:cstheme="majorBidi"/>
          <w:sz w:val="24"/>
          <w:szCs w:val="24"/>
        </w:rPr>
        <w:t>AD 120-02</w:t>
      </w:r>
      <w:r w:rsidRPr="00B67EE1">
        <w:rPr>
          <w:rFonts w:asciiTheme="majorBidi" w:hAnsiTheme="majorBidi"/>
          <w:rtl/>
        </w:rPr>
        <w:t>کم</w:t>
      </w:r>
      <w:r w:rsidRPr="00B67EE1">
        <w:rPr>
          <w:rFonts w:asciiTheme="majorBidi" w:hAnsiTheme="majorBidi"/>
          <w:rtl/>
        </w:rPr>
        <w:softHyphen/>
        <w:t>ترین</w:t>
      </w:r>
      <w:r w:rsidRPr="00B67EE1">
        <w:rPr>
          <w:rFonts w:hint="cs"/>
          <w:rtl/>
        </w:rPr>
        <w:t xml:space="preserve"> مقدار بوده است، همچنین بهبود بادبردگی افشانک و نشست هوابرد به ترتیب از 5/72 درصد به 5/78 درصد و 8/96 درصد به 5/98 درصد شد. در تحقیقات دیگری که توسط جامر و همکاران (2010) انجام گرفت، عملکرد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 تونلی،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</w:t>
      </w:r>
      <w:r w:rsidRPr="00B67EE1">
        <w:rPr>
          <w:rtl/>
        </w:rPr>
        <w:softHyphen/>
      </w:r>
      <w:r w:rsidRPr="00B67EE1">
        <w:rPr>
          <w:rFonts w:hint="cs"/>
          <w:rtl/>
        </w:rPr>
        <w:t xml:space="preserve"> معمولی استاندارد و همچنین کاهش بادبردگی افشانک در باغ سیب پاکوتاه مورد بررسی قرار گرفت، نتایج این تحقیقات نشان داد که متوسط نشست بادبردگی</w:t>
      </w:r>
      <w:r w:rsidRPr="00B67EE1">
        <w:rPr>
          <w:rtl/>
        </w:rPr>
        <w:softHyphen/>
      </w:r>
      <w:r w:rsidRPr="00B67EE1">
        <w:rPr>
          <w:rFonts w:hint="cs"/>
          <w:rtl/>
        </w:rPr>
        <w:t>ها از مقدار کل پاشش در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 تونلی در بازه 8/5 تا 1/9 درصد بوده است که در مقایسه با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</w:t>
      </w:r>
      <w:r w:rsidRPr="00B67EE1">
        <w:rPr>
          <w:rtl/>
        </w:rPr>
        <w:softHyphen/>
      </w:r>
      <w:r w:rsidRPr="00B67EE1">
        <w:rPr>
          <w:rFonts w:hint="cs"/>
          <w:rtl/>
        </w:rPr>
        <w:t>های استاندارد، میانگین کل آماری تولید نشست بادبردگی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 تونلی قابل توجه بوده است، اما توزیع نشست بادبردگی بین دو سم</w:t>
      </w:r>
      <w:r w:rsidRPr="00B67EE1">
        <w:rPr>
          <w:rtl/>
        </w:rPr>
        <w:softHyphen/>
      </w:r>
      <w:r w:rsidR="00814B6F">
        <w:rPr>
          <w:rFonts w:hint="cs"/>
          <w:rtl/>
        </w:rPr>
        <w:t>پاش کاملا متفاوت بود. ججسیک</w:t>
      </w:r>
      <w:r w:rsidRPr="00B67EE1">
        <w:rPr>
          <w:vertAlign w:val="superscript"/>
          <w:rtl/>
        </w:rPr>
        <w:footnoteReference w:id="15"/>
      </w:r>
      <w:r w:rsidR="00814B6F">
        <w:rPr>
          <w:rFonts w:hint="cs"/>
          <w:rtl/>
        </w:rPr>
        <w:t xml:space="preserve"> </w:t>
      </w:r>
      <w:r w:rsidRPr="00B67EE1">
        <w:rPr>
          <w:rFonts w:hint="cs"/>
          <w:rtl/>
        </w:rPr>
        <w:t>و همکاران (2011) طراحی و آزمایش یک سیستم اولتراسونیک</w:t>
      </w:r>
      <w:r w:rsidRPr="00B67EE1">
        <w:rPr>
          <w:vertAlign w:val="superscript"/>
          <w:rtl/>
        </w:rPr>
        <w:footnoteReference w:id="16"/>
      </w:r>
      <w:r w:rsidRPr="00B67EE1">
        <w:rPr>
          <w:rFonts w:hint="cs"/>
          <w:rtl/>
        </w:rPr>
        <w:t xml:space="preserve"> برای پاشش هدفمند در باغ را انجام دادند، بررسی کنترل سیستم الکترونیکی اولتراسونیک برای کاربرد پاشش مناسب نشان داد که در مجموع 2/20 درصد صرفه</w:t>
      </w:r>
      <w:r w:rsidRPr="00B67EE1">
        <w:rPr>
          <w:rtl/>
        </w:rPr>
        <w:softHyphen/>
      </w:r>
      <w:r w:rsidRPr="00B67EE1">
        <w:rPr>
          <w:rFonts w:hint="cs"/>
          <w:rtl/>
        </w:rPr>
        <w:t>جویی پاشش در هر افشانک بوده است. تسای و لیانگ</w:t>
      </w:r>
      <w:r w:rsidRPr="00B67EE1">
        <w:rPr>
          <w:vertAlign w:val="superscript"/>
          <w:rtl/>
        </w:rPr>
        <w:footnoteReference w:id="17"/>
      </w:r>
      <w:r w:rsidRPr="00B67EE1">
        <w:rPr>
          <w:rFonts w:hint="cs"/>
          <w:rtl/>
        </w:rPr>
        <w:t xml:space="preserve"> (2004) در طی تحقیقاتی بر روی سم</w:t>
      </w:r>
      <w:r w:rsidRPr="00B67EE1">
        <w:rPr>
          <w:rFonts w:hint="cs"/>
          <w:rtl/>
        </w:rPr>
        <w:softHyphen/>
        <w:t>پاش بوم</w:t>
      </w:r>
      <w:r w:rsidRPr="00B67EE1">
        <w:rPr>
          <w:rtl/>
        </w:rPr>
        <w:softHyphen/>
      </w:r>
      <w:r w:rsidRPr="00B67EE1">
        <w:rPr>
          <w:rFonts w:hint="cs"/>
          <w:rtl/>
        </w:rPr>
        <w:t>دار مجهز به یک واحد دمنده در یک محیط شبیه</w:t>
      </w:r>
      <w:r w:rsidRPr="00B67EE1">
        <w:rPr>
          <w:rFonts w:hint="cs"/>
          <w:rtl/>
        </w:rPr>
        <w:softHyphen/>
        <w:t>سازی شده، نشان دادند که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 کمک هوا، استراتژی مناسبی برای کاهش بادبردگی است، همچنین نتایج نشان داد که در سرعت هوای 20 تا 30 متر بر ثانیه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 کمک هوا، شاخص مربوط به بادبردگی نسبی، برای پاشش در مسیر باد، 50 تا 80 درصد و برای خلاف جهت باد، 5 تا 22 درصد کاهش داد.</w:t>
      </w:r>
      <w:r w:rsidRPr="00B67EE1">
        <w:rPr>
          <w:rFonts w:hint="cs"/>
          <w:b/>
          <w:bCs/>
          <w:rtl/>
        </w:rPr>
        <w:t xml:space="preserve"> </w:t>
      </w:r>
    </w:p>
    <w:p w:rsidR="00B67EE1" w:rsidRPr="00B67EE1" w:rsidRDefault="00B67EE1" w:rsidP="00B67EE1">
      <w:pPr>
        <w:tabs>
          <w:tab w:val="left" w:pos="567"/>
        </w:tabs>
        <w:spacing w:after="0" w:line="360" w:lineRule="auto"/>
        <w:ind w:firstLine="425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lastRenderedPageBreak/>
        <w:t>با توجه به تحقیقات انجام شده می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توان بیان نمود که بالاترین تلفات محصول برای کنترل آفات، مربوط به تراکتور بوم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دار پشت تراکتوری با 5/10 درصد نسبت به دیگر سم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پاش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ها بوده است. این درصد نشان می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دهد که کنترل سم-پاش پشت تراکتوری برای مبارزه با آفات، بیش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تر باید مدنظر قرار گرفته شود. نوع افشانک تاثیر بسزایی در کنترل آفات دارد که انواع مختلفی از آن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ها با مقادیر متفاوت، میزان بادبردگی و نشست محلول سم  بر گیاه را کنترل می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کنند.در این میان نوع افشانک هاردی ایزو، افشانک </w:t>
      </w:r>
      <w:r w:rsidRPr="00B67EE1">
        <w:rPr>
          <w:rFonts w:ascii="Times New Roman" w:eastAsia="Times New Roman" w:hAnsi="Times New Roman" w:cs="B Nazanin"/>
          <w:sz w:val="26"/>
          <w:szCs w:val="26"/>
        </w:rPr>
        <w:t>LD</w:t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، افشانک کمک هوا و افشانک هوا القایی به ترتیب با 25، 50، 80 و 90 درصد میزان بادبردگی محلول سم را کاهش می</w:t>
      </w:r>
      <w:r w:rsidRPr="00B67EE1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B67EE1">
        <w:rPr>
          <w:rFonts w:ascii="Times New Roman" w:eastAsia="Times New Roman" w:hAnsi="Times New Roman" w:cs="B Nazanin" w:hint="cs"/>
          <w:sz w:val="26"/>
          <w:szCs w:val="26"/>
          <w:rtl/>
        </w:rPr>
        <w:t>دهند.</w:t>
      </w:r>
    </w:p>
    <w:p w:rsidR="00B67EE1" w:rsidRPr="00B67EE1" w:rsidRDefault="00ED44FC" w:rsidP="002234D6">
      <w:pPr>
        <w:pStyle w:val="Heading1"/>
        <w:rPr>
          <w:b/>
          <w:rtl/>
        </w:rPr>
      </w:pPr>
      <w:bookmarkStart w:id="29" w:name="_Toc452245004"/>
      <w:bookmarkStart w:id="30" w:name="_Toc452245152"/>
      <w:bookmarkStart w:id="31" w:name="_Toc452245266"/>
      <w:bookmarkStart w:id="32" w:name="_Toc452245336"/>
      <w:bookmarkStart w:id="33" w:name="_Toc452245384"/>
      <w:bookmarkStart w:id="34" w:name="_Toc452245476"/>
      <w:bookmarkStart w:id="35" w:name="_Toc452246243"/>
      <w:bookmarkStart w:id="36" w:name="_Toc452249053"/>
      <w:bookmarkStart w:id="37" w:name="_Toc452249960"/>
      <w:bookmarkStart w:id="38" w:name="_Toc452250528"/>
      <w:bookmarkStart w:id="39" w:name="_Toc452252842"/>
      <w:bookmarkStart w:id="40" w:name="_Toc452253946"/>
      <w:bookmarkStart w:id="41" w:name="_Toc452254761"/>
      <w:r>
        <w:rPr>
          <w:rFonts w:hint="cs"/>
          <w:rtl/>
        </w:rPr>
        <w:t>3-2</w:t>
      </w:r>
      <w:r w:rsidR="00B67EE1" w:rsidRPr="00B67EE1">
        <w:rPr>
          <w:rFonts w:hint="cs"/>
          <w:b/>
          <w:rtl/>
        </w:rPr>
        <w:t xml:space="preserve"> </w:t>
      </w:r>
      <w:r w:rsidR="00B67EE1" w:rsidRPr="00B67EE1">
        <w:rPr>
          <w:rFonts w:hint="cs"/>
          <w:rtl/>
        </w:rPr>
        <w:t>تاثیر قطر افشانک بر کیفیت پاشش و میزان بادبردگی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ED44FC" w:rsidRPr="00B67EE1" w:rsidRDefault="00B67EE1" w:rsidP="002234D6">
      <w:pPr>
        <w:pStyle w:val="a0"/>
      </w:pPr>
      <w:r w:rsidRPr="00B67EE1">
        <w:rPr>
          <w:rFonts w:hint="cs"/>
          <w:rtl/>
        </w:rPr>
        <w:t>ناصری و همکاران (1386) با آزمایش 3 قطر روزنه افشانک (2/1، 5/1، 8/1 میلی</w:t>
      </w:r>
      <w:r w:rsidRPr="00B67EE1">
        <w:rPr>
          <w:rtl/>
        </w:rPr>
        <w:softHyphen/>
      </w:r>
      <w:r w:rsidRPr="00B67EE1">
        <w:rPr>
          <w:rFonts w:hint="cs"/>
          <w:rtl/>
        </w:rPr>
        <w:t>متر) نتیجه گرفتند که قطر افشانک بر یکنواختی پاشش اثر معنی</w:t>
      </w:r>
      <w:r w:rsidRPr="00B67EE1">
        <w:rPr>
          <w:rtl/>
        </w:rPr>
        <w:softHyphen/>
      </w:r>
      <w:r w:rsidRPr="00B67EE1">
        <w:rPr>
          <w:rFonts w:hint="cs"/>
          <w:rtl/>
        </w:rPr>
        <w:t>داری ندارد، این بدین معنی است که از نظر آماری همه افشانک</w:t>
      </w:r>
      <w:r w:rsidRPr="00B67EE1">
        <w:rPr>
          <w:rtl/>
        </w:rPr>
        <w:softHyphen/>
      </w:r>
      <w:r w:rsidRPr="00B67EE1">
        <w:rPr>
          <w:rFonts w:hint="cs"/>
          <w:rtl/>
        </w:rPr>
        <w:t>ها از یکنواختی پاشش یکسانی افشانک با بادبردگی کم</w:t>
      </w:r>
      <w:r w:rsidRPr="00B67EE1">
        <w:rPr>
          <w:vertAlign w:val="superscript"/>
          <w:rtl/>
        </w:rPr>
        <w:footnoteReference w:id="18"/>
      </w:r>
      <w:r w:rsidRPr="00B67EE1">
        <w:rPr>
          <w:rFonts w:hint="cs"/>
          <w:rtl/>
        </w:rPr>
        <w:t xml:space="preserve"> از 2/76 به 5/82</w:t>
      </w:r>
    </w:p>
    <w:p w:rsidR="00B67EE1" w:rsidRPr="00B67EE1" w:rsidRDefault="00B67EE1" w:rsidP="002234D6">
      <w:pPr>
        <w:pStyle w:val="Heading1"/>
        <w:rPr>
          <w:b/>
          <w:rtl/>
        </w:rPr>
      </w:pPr>
      <w:r w:rsidRPr="00B67EE1">
        <w:rPr>
          <w:rFonts w:eastAsia="Times New Roman" w:hint="cs"/>
          <w:rtl/>
        </w:rPr>
        <w:t>.</w:t>
      </w:r>
      <w:bookmarkStart w:id="42" w:name="_Toc452245005"/>
      <w:bookmarkStart w:id="43" w:name="_Toc452245153"/>
      <w:bookmarkStart w:id="44" w:name="_Toc452245267"/>
      <w:bookmarkStart w:id="45" w:name="_Toc452245337"/>
      <w:bookmarkStart w:id="46" w:name="_Toc452245385"/>
      <w:bookmarkStart w:id="47" w:name="_Toc452245477"/>
      <w:bookmarkStart w:id="48" w:name="_Toc452246244"/>
      <w:bookmarkStart w:id="49" w:name="_Toc452249054"/>
      <w:bookmarkStart w:id="50" w:name="_Toc452249961"/>
      <w:bookmarkStart w:id="51" w:name="_Toc452250529"/>
      <w:bookmarkStart w:id="52" w:name="_Toc452252843"/>
      <w:bookmarkStart w:id="53" w:name="_Toc452253947"/>
      <w:bookmarkStart w:id="54" w:name="_Toc452254762"/>
      <w:r w:rsidR="00ED44FC">
        <w:rPr>
          <w:rFonts w:hint="cs"/>
          <w:rtl/>
        </w:rPr>
        <w:t xml:space="preserve">4-2 </w:t>
      </w:r>
      <w:r w:rsidRPr="00B67EE1">
        <w:rPr>
          <w:rFonts w:hint="cs"/>
          <w:rtl/>
        </w:rPr>
        <w:t>تاثیر جریان هوا کمکی افشانک بر میزان بادبردگی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ED44FC" w:rsidRPr="00B67EE1" w:rsidRDefault="00B67EE1" w:rsidP="002234D6">
      <w:pPr>
        <w:pStyle w:val="a0"/>
      </w:pPr>
      <w:r w:rsidRPr="00B67EE1">
        <w:rPr>
          <w:rFonts w:hint="cs"/>
          <w:rtl/>
        </w:rPr>
        <w:t>طی تحقیقاتی پرگر</w:t>
      </w:r>
      <w:r w:rsidRPr="00B67EE1">
        <w:rPr>
          <w:vertAlign w:val="superscript"/>
          <w:rtl/>
        </w:rPr>
        <w:footnoteReference w:id="19"/>
      </w:r>
      <w:r w:rsidRPr="00B67EE1">
        <w:rPr>
          <w:rFonts w:hint="cs"/>
          <w:rtl/>
        </w:rPr>
        <w:t>(2005) در بررسی بهبود کالیبراسیون نرخ جریان هوا کمکی و سرعت رو به جلو در سم</w:t>
      </w:r>
      <w:r w:rsidRPr="00B67EE1">
        <w:rPr>
          <w:rtl/>
        </w:rPr>
        <w:softHyphen/>
      </w:r>
      <w:r w:rsidRPr="00B67EE1">
        <w:rPr>
          <w:rFonts w:hint="cs"/>
          <w:rtl/>
        </w:rPr>
        <w:t>پاش توربولاینر باغ</w:t>
      </w:r>
      <w:r w:rsidRPr="00B67EE1">
        <w:rPr>
          <w:rtl/>
        </w:rPr>
        <w:softHyphen/>
      </w:r>
      <w:r w:rsidRPr="00B67EE1">
        <w:rPr>
          <w:rFonts w:hint="cs"/>
          <w:rtl/>
        </w:rPr>
        <w:t>های انگور، گزارش داد که کاهش سرعت جریان هو</w:t>
      </w:r>
      <w:r w:rsidR="00834930">
        <w:rPr>
          <w:rFonts w:hint="cs"/>
          <w:rtl/>
        </w:rPr>
        <w:t>ا کمکی از 6/10 به 3/6 متر مکعب بر ثانیه</w:t>
      </w:r>
      <w:r w:rsidRPr="00B67EE1">
        <w:rPr>
          <w:rFonts w:hint="cs"/>
          <w:rtl/>
        </w:rPr>
        <w:t xml:space="preserve">، میانگین نشست را 25 تا 30 درصد </w:t>
      </w:r>
    </w:p>
    <w:p w:rsidR="00B67EE1" w:rsidRDefault="00B67EE1" w:rsidP="002234D6">
      <w:pPr>
        <w:pStyle w:val="a0"/>
        <w:rPr>
          <w:rtl/>
        </w:rPr>
      </w:pPr>
      <w:r w:rsidRPr="00B67EE1">
        <w:rPr>
          <w:rFonts w:hint="cs"/>
          <w:rtl/>
        </w:rPr>
        <w:t>بادبردگی محلول سم کاهش می</w:t>
      </w:r>
      <w:r w:rsidRPr="00B67EE1">
        <w:rPr>
          <w:rtl/>
        </w:rPr>
        <w:softHyphen/>
      </w:r>
      <w:r w:rsidRPr="00B67EE1">
        <w:rPr>
          <w:rFonts w:hint="cs"/>
          <w:rtl/>
        </w:rPr>
        <w:t>یابد. این در حالی است که کاهش سرعت جریان هوا کمکی،  متوسط نشست محلول سم را 37 درصد افزایش می</w:t>
      </w:r>
      <w:r w:rsidRPr="00B67EE1">
        <w:rPr>
          <w:rtl/>
        </w:rPr>
        <w:softHyphen/>
      </w:r>
      <w:r w:rsidRPr="00B67EE1">
        <w:rPr>
          <w:rFonts w:hint="cs"/>
          <w:rtl/>
        </w:rPr>
        <w:t>دهد.</w:t>
      </w:r>
    </w:p>
    <w:p w:rsidR="00ED44FC" w:rsidRDefault="00ED44FC" w:rsidP="00ED44FC">
      <w:pPr>
        <w:tabs>
          <w:tab w:val="left" w:pos="567"/>
        </w:tabs>
        <w:spacing w:after="0" w:line="360" w:lineRule="auto"/>
        <w:ind w:firstLine="425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  <w:r w:rsidRPr="00ED44FC">
        <w:rPr>
          <w:rFonts w:ascii="Times New Roman" w:eastAsia="Times New Roman" w:hAnsi="Times New Roman" w:cs="B Nazanin" w:hint="cs"/>
          <w:sz w:val="26"/>
          <w:szCs w:val="26"/>
          <w:highlight w:val="yellow"/>
          <w:rtl/>
        </w:rPr>
        <w:t>در انتها مطالب فصل جمع‌بندی می‌شود</w:t>
      </w:r>
    </w:p>
    <w:p w:rsidR="00A07F2B" w:rsidRDefault="00A07F2B">
      <w:pPr>
        <w:bidi w:val="0"/>
        <w:rPr>
          <w:rFonts w:ascii="Times New Roman" w:eastAsia="Times New Roman" w:hAnsi="Times New Roman" w:cs="B Nazanin"/>
          <w:sz w:val="26"/>
          <w:szCs w:val="26"/>
          <w:highlight w:val="yellow"/>
          <w:rtl/>
        </w:rPr>
      </w:pPr>
    </w:p>
    <w:sectPr w:rsidR="00A07F2B" w:rsidSect="006F15CF">
      <w:footerReference w:type="default" r:id="rId7"/>
      <w:footnotePr>
        <w:numRestart w:val="eachPage"/>
      </w:footnotePr>
      <w:pgSz w:w="11906" w:h="16838" w:code="9"/>
      <w:pgMar w:top="1701" w:right="1701" w:bottom="1418" w:left="1701" w:header="567" w:footer="567" w:gutter="0"/>
      <w:pgNumType w:start="11"/>
      <w:cols w:space="708"/>
      <w:rtlGutter/>
      <w:docGrid w:linePitch="360"/>
      <w15:footnoteColumns w:val="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0D8" w:rsidRDefault="004C70D8" w:rsidP="00B67EE1">
      <w:pPr>
        <w:spacing w:after="0" w:line="240" w:lineRule="auto"/>
      </w:pPr>
      <w:r>
        <w:separator/>
      </w:r>
    </w:p>
  </w:endnote>
  <w:endnote w:type="continuationSeparator" w:id="0">
    <w:p w:rsidR="004C70D8" w:rsidRDefault="004C70D8" w:rsidP="00B6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2DBDB468-85F8-454B-BF03-2526CB883F12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B96B0241-FC6A-49EA-80DC-083045F845CC}"/>
    <w:embedBold r:id="rId3" w:fontKey="{829FD1BE-FFD8-459E-B475-C35D82C66C93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Nazanin"/>
        <w:rtl/>
      </w:rPr>
      <w:id w:val="-1797973128"/>
      <w:docPartObj>
        <w:docPartGallery w:val="Page Numbers (Bottom of Page)"/>
        <w:docPartUnique/>
      </w:docPartObj>
    </w:sdtPr>
    <w:sdtEndPr/>
    <w:sdtContent>
      <w:p w:rsidR="00B67EE1" w:rsidRPr="00B67EE1" w:rsidRDefault="00B67EE1">
        <w:pPr>
          <w:pStyle w:val="Footer"/>
          <w:jc w:val="center"/>
          <w:rPr>
            <w:rFonts w:cs="B Nazanin"/>
          </w:rPr>
        </w:pPr>
        <w:r w:rsidRPr="00B67EE1">
          <w:rPr>
            <w:rFonts w:cs="B Nazanin"/>
          </w:rPr>
          <w:fldChar w:fldCharType="begin"/>
        </w:r>
        <w:r w:rsidRPr="00B67EE1">
          <w:rPr>
            <w:rFonts w:cs="B Nazanin"/>
          </w:rPr>
          <w:instrText xml:space="preserve"> PAGE   \* MERGEFORMAT </w:instrText>
        </w:r>
        <w:r w:rsidRPr="00B67EE1">
          <w:rPr>
            <w:rFonts w:cs="B Nazanin"/>
          </w:rPr>
          <w:fldChar w:fldCharType="separate"/>
        </w:r>
        <w:r w:rsidR="006F15CF">
          <w:rPr>
            <w:rFonts w:cs="B Nazanin"/>
            <w:noProof/>
            <w:rtl/>
          </w:rPr>
          <w:t>13</w:t>
        </w:r>
        <w:r w:rsidRPr="00B67EE1">
          <w:rPr>
            <w:rFonts w:cs="B Nazanin"/>
            <w:noProof/>
          </w:rPr>
          <w:fldChar w:fldCharType="end"/>
        </w:r>
      </w:p>
    </w:sdtContent>
  </w:sdt>
  <w:p w:rsidR="00B67EE1" w:rsidRDefault="00B67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0D8" w:rsidRDefault="004C70D8" w:rsidP="00B67EE1">
      <w:pPr>
        <w:bidi w:val="0"/>
        <w:spacing w:after="0" w:line="240" w:lineRule="auto"/>
      </w:pPr>
      <w:r>
        <w:separator/>
      </w:r>
    </w:p>
  </w:footnote>
  <w:footnote w:type="continuationSeparator" w:id="0">
    <w:p w:rsidR="004C70D8" w:rsidRDefault="004C70D8" w:rsidP="00B67EE1">
      <w:pPr>
        <w:spacing w:after="0" w:line="240" w:lineRule="auto"/>
      </w:pPr>
      <w:r>
        <w:continuationSeparator/>
      </w:r>
    </w:p>
  </w:footnote>
  <w:footnote w:type="continuationNotice" w:id="1">
    <w:p w:rsidR="004C70D8" w:rsidRDefault="004C70D8" w:rsidP="002234D6">
      <w:pPr>
        <w:pStyle w:val="a1"/>
      </w:pPr>
    </w:p>
  </w:footnote>
  <w:footnote w:id="2">
    <w:p w:rsidR="00A138F1" w:rsidRDefault="00A138F1" w:rsidP="002234D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Boom Sprayer</w:t>
      </w:r>
    </w:p>
  </w:footnote>
  <w:footnote w:id="3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</w:rPr>
      </w:pPr>
      <w:r w:rsidRPr="00814B6F">
        <w:rPr>
          <w:rFonts w:asciiTheme="majorBidi" w:hAnsiTheme="majorBidi" w:cstheme="majorBidi"/>
          <w:sz w:val="22"/>
          <w:szCs w:val="22"/>
          <w:vertAlign w:val="superscript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>.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Peche</w:t>
      </w:r>
      <w:proofErr w:type="spellEnd"/>
    </w:p>
  </w:footnote>
  <w:footnote w:id="4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</w:rPr>
      </w:pPr>
      <w:r w:rsidRPr="00814B6F">
        <w:rPr>
          <w:rFonts w:asciiTheme="majorBidi" w:hAnsiTheme="majorBidi" w:cstheme="majorBidi"/>
          <w:sz w:val="22"/>
          <w:szCs w:val="22"/>
          <w:vertAlign w:val="superscript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.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Arvidsson</w:t>
      </w:r>
      <w:proofErr w:type="spellEnd"/>
    </w:p>
  </w:footnote>
  <w:footnote w:id="5">
    <w:p w:rsidR="00B67EE1" w:rsidRDefault="00B67EE1" w:rsidP="002234D6">
      <w:pPr>
        <w:pStyle w:val="FootnoteText"/>
        <w:bidi w:val="0"/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. Miller</w:t>
      </w:r>
    </w:p>
  </w:footnote>
  <w:footnote w:id="6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</w:rPr>
      </w:pPr>
      <w:r w:rsidRPr="00814B6F">
        <w:rPr>
          <w:rFonts w:asciiTheme="majorBidi" w:hAnsiTheme="majorBidi" w:cstheme="majorBidi"/>
          <w:sz w:val="22"/>
          <w:szCs w:val="22"/>
          <w:vertAlign w:val="superscript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.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 De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Schamphelele</w:t>
      </w:r>
      <w:proofErr w:type="spellEnd"/>
    </w:p>
  </w:footnote>
  <w:footnote w:id="7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</w:t>
      </w:r>
      <w:r w:rsidR="00814B6F" w:rsidRPr="00814B6F">
        <w:rPr>
          <w:rFonts w:asciiTheme="majorBidi" w:hAnsiTheme="majorBidi" w:cstheme="majorBidi"/>
          <w:sz w:val="22"/>
          <w:szCs w:val="22"/>
          <w:vertAlign w:val="superscript"/>
        </w:rPr>
        <w:t>. Low D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rift</w:t>
      </w:r>
    </w:p>
  </w:footnote>
  <w:footnote w:id="8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.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Hardi</w:t>
      </w:r>
      <w:proofErr w:type="spellEnd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Iso</w:t>
      </w:r>
      <w:proofErr w:type="spellEnd"/>
    </w:p>
  </w:footnote>
  <w:footnote w:id="9">
    <w:p w:rsidR="00A23CA3" w:rsidRPr="00814B6F" w:rsidRDefault="00A23CA3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. Air Induction</w:t>
      </w:r>
    </w:p>
  </w:footnote>
  <w:footnote w:id="10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.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Sayinci</w:t>
      </w:r>
      <w:proofErr w:type="spellEnd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 and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Bastaban</w:t>
      </w:r>
      <w:proofErr w:type="spellEnd"/>
    </w:p>
  </w:footnote>
  <w:footnote w:id="11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. Coefficients of variation</w:t>
      </w:r>
    </w:p>
  </w:footnote>
  <w:footnote w:id="12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t>6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.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Huiyuzhao</w:t>
      </w:r>
      <w:proofErr w:type="spellEnd"/>
    </w:p>
  </w:footnote>
  <w:footnote w:id="13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.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  <w:lang w:val="en"/>
        </w:rPr>
        <w:t>Imidacloprid</w:t>
      </w:r>
      <w:proofErr w:type="spellEnd"/>
    </w:p>
  </w:footnote>
  <w:footnote w:id="14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. </w:t>
      </w:r>
      <w:r w:rsidRPr="00814B6F">
        <w:rPr>
          <w:rFonts w:asciiTheme="majorBidi" w:hAnsiTheme="majorBidi" w:cstheme="majorBidi"/>
          <w:sz w:val="22"/>
          <w:szCs w:val="22"/>
          <w:vertAlign w:val="superscript"/>
          <w:lang w:val="en"/>
        </w:rPr>
        <w:t>Airborne</w:t>
      </w:r>
    </w:p>
  </w:footnote>
  <w:footnote w:id="15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.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Jejcic</w:t>
      </w:r>
      <w:proofErr w:type="spellEnd"/>
    </w:p>
  </w:footnote>
  <w:footnote w:id="16">
    <w:p w:rsidR="00B67EE1" w:rsidRDefault="00B67EE1" w:rsidP="002234D6">
      <w:pPr>
        <w:pStyle w:val="FootnoteText"/>
        <w:bidi w:val="0"/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lang w:val="en"/>
        </w:rPr>
        <w:t>.Ultrasonic</w:t>
      </w:r>
    </w:p>
  </w:footnote>
  <w:footnote w:id="17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. 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Tsay</w:t>
      </w:r>
      <w:proofErr w:type="spellEnd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 xml:space="preserve"> and Liang</w:t>
      </w:r>
    </w:p>
  </w:footnote>
  <w:footnote w:id="18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  <w:vertAlign w:val="superscript"/>
        </w:rPr>
      </w:pPr>
      <w:r w:rsidRPr="00814B6F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. </w:t>
      </w:r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LD</w:t>
      </w:r>
    </w:p>
  </w:footnote>
  <w:footnote w:id="19">
    <w:p w:rsidR="00B67EE1" w:rsidRPr="00814B6F" w:rsidRDefault="00B67EE1" w:rsidP="002234D6">
      <w:pPr>
        <w:pStyle w:val="FootnoteText"/>
        <w:bidi w:val="0"/>
        <w:rPr>
          <w:rFonts w:asciiTheme="majorBidi" w:hAnsiTheme="majorBidi" w:cstheme="majorBidi"/>
          <w:sz w:val="22"/>
          <w:szCs w:val="22"/>
        </w:rPr>
      </w:pPr>
      <w:r w:rsidRPr="00814B6F">
        <w:rPr>
          <w:rFonts w:asciiTheme="majorBidi" w:hAnsiTheme="majorBidi" w:cstheme="majorBidi"/>
          <w:sz w:val="22"/>
          <w:szCs w:val="22"/>
          <w:vertAlign w:val="superscript"/>
        </w:rPr>
        <w:footnoteRef/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 xml:space="preserve"> </w:t>
      </w:r>
      <w:r w:rsidRPr="00814B6F">
        <w:rPr>
          <w:rFonts w:asciiTheme="majorBidi" w:hAnsiTheme="majorBidi" w:cstheme="majorBidi"/>
          <w:sz w:val="22"/>
          <w:szCs w:val="22"/>
          <w:vertAlign w:val="superscript"/>
          <w:rtl/>
        </w:rPr>
        <w:t>.</w:t>
      </w:r>
      <w:proofErr w:type="spellStart"/>
      <w:r w:rsidRPr="00814B6F">
        <w:rPr>
          <w:rFonts w:asciiTheme="majorBidi" w:hAnsiTheme="majorBidi" w:cstheme="majorBidi"/>
          <w:sz w:val="22"/>
          <w:szCs w:val="22"/>
          <w:vertAlign w:val="superscript"/>
        </w:rPr>
        <w:t>Pergher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57"/>
    <w:rsid w:val="000D518B"/>
    <w:rsid w:val="000F02A4"/>
    <w:rsid w:val="002234D6"/>
    <w:rsid w:val="00263AA4"/>
    <w:rsid w:val="0031605F"/>
    <w:rsid w:val="003339EF"/>
    <w:rsid w:val="003B365F"/>
    <w:rsid w:val="003B4FB4"/>
    <w:rsid w:val="00434023"/>
    <w:rsid w:val="004C70D8"/>
    <w:rsid w:val="00525E57"/>
    <w:rsid w:val="005F6B10"/>
    <w:rsid w:val="00663255"/>
    <w:rsid w:val="006D3D0C"/>
    <w:rsid w:val="006F15CF"/>
    <w:rsid w:val="00814B6F"/>
    <w:rsid w:val="00834930"/>
    <w:rsid w:val="008D7CFB"/>
    <w:rsid w:val="009E4492"/>
    <w:rsid w:val="00A07F2B"/>
    <w:rsid w:val="00A138F1"/>
    <w:rsid w:val="00A23CA3"/>
    <w:rsid w:val="00A371A4"/>
    <w:rsid w:val="00B07E52"/>
    <w:rsid w:val="00B42BBA"/>
    <w:rsid w:val="00B67EE1"/>
    <w:rsid w:val="00B81F96"/>
    <w:rsid w:val="00ED44FC"/>
    <w:rsid w:val="00EF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1AB48-E1EE-439F-AB98-D724D6C9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aliases w:val="Heading تیتر 1-1"/>
    <w:basedOn w:val="Normal"/>
    <w:next w:val="Normal"/>
    <w:link w:val="Heading1Char"/>
    <w:uiPriority w:val="9"/>
    <w:qFormat/>
    <w:rsid w:val="00A07F2B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="B Nazanin"/>
      <w:bCs/>
      <w:sz w:val="24"/>
      <w:szCs w:val="26"/>
    </w:rPr>
  </w:style>
  <w:style w:type="paragraph" w:styleId="Heading2">
    <w:name w:val="heading 2"/>
    <w:aliases w:val="تیتر 2 Heading 2"/>
    <w:basedOn w:val="Normal"/>
    <w:next w:val="Normal"/>
    <w:link w:val="Heading2Char"/>
    <w:uiPriority w:val="9"/>
    <w:unhideWhenUsed/>
    <w:qFormat/>
    <w:rsid w:val="00A07F2B"/>
    <w:pPr>
      <w:keepNext/>
      <w:keepLines/>
      <w:spacing w:before="120" w:after="0" w:line="360" w:lineRule="auto"/>
      <w:outlineLvl w:val="1"/>
    </w:pPr>
    <w:rPr>
      <w:rFonts w:ascii="Times New Roman" w:eastAsiaTheme="majorEastAsia" w:hAnsi="Times New Roman" w:cs="B Nazani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7E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7E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67E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6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EE1"/>
  </w:style>
  <w:style w:type="paragraph" w:styleId="Footer">
    <w:name w:val="footer"/>
    <w:basedOn w:val="Normal"/>
    <w:link w:val="FooterChar"/>
    <w:uiPriority w:val="99"/>
    <w:unhideWhenUsed/>
    <w:rsid w:val="00B6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EE1"/>
  </w:style>
  <w:style w:type="character" w:customStyle="1" w:styleId="Heading1Char">
    <w:name w:val="Heading 1 Char"/>
    <w:aliases w:val="Heading تیتر 1-1 Char"/>
    <w:basedOn w:val="DefaultParagraphFont"/>
    <w:link w:val="Heading1"/>
    <w:uiPriority w:val="9"/>
    <w:rsid w:val="00A07F2B"/>
    <w:rPr>
      <w:rFonts w:ascii="Times New Roman" w:eastAsiaTheme="majorEastAsia" w:hAnsi="Times New Roman" w:cs="B Nazanin"/>
      <w:bCs/>
      <w:sz w:val="24"/>
      <w:szCs w:val="26"/>
    </w:rPr>
  </w:style>
  <w:style w:type="character" w:customStyle="1" w:styleId="Heading2Char">
    <w:name w:val="Heading 2 Char"/>
    <w:aliases w:val="تیتر 2 Heading 2 Char"/>
    <w:basedOn w:val="DefaultParagraphFont"/>
    <w:link w:val="Heading2"/>
    <w:uiPriority w:val="9"/>
    <w:rsid w:val="00A07F2B"/>
    <w:rPr>
      <w:rFonts w:ascii="Times New Roman" w:eastAsiaTheme="majorEastAsia" w:hAnsi="Times New Roman" w:cs="B Nazanin"/>
      <w:b/>
      <w:bCs/>
      <w:szCs w:val="26"/>
    </w:rPr>
  </w:style>
  <w:style w:type="table" w:styleId="TableGrid">
    <w:name w:val="Table Grid"/>
    <w:basedOn w:val="TableNormal"/>
    <w:uiPriority w:val="39"/>
    <w:rsid w:val="00A07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سرفصل"/>
    <w:basedOn w:val="Normal"/>
    <w:link w:val="Char"/>
    <w:qFormat/>
    <w:rsid w:val="00A07F2B"/>
    <w:pPr>
      <w:spacing w:after="0" w:line="360" w:lineRule="auto"/>
      <w:jc w:val="center"/>
    </w:pPr>
    <w:rPr>
      <w:rFonts w:ascii="Times New Roman" w:hAnsi="Times New Roman" w:cs="B Nazanin"/>
      <w:b/>
      <w:bCs/>
      <w:sz w:val="24"/>
      <w:szCs w:val="28"/>
    </w:rPr>
  </w:style>
  <w:style w:type="character" w:customStyle="1" w:styleId="Char">
    <w:name w:val="سرفصل Char"/>
    <w:basedOn w:val="DefaultParagraphFont"/>
    <w:link w:val="a"/>
    <w:rsid w:val="00A07F2B"/>
    <w:rPr>
      <w:rFonts w:ascii="Times New Roman" w:hAnsi="Times New Roman" w:cs="B Nazanin"/>
      <w:b/>
      <w:bCs/>
      <w:sz w:val="24"/>
      <w:szCs w:val="28"/>
    </w:rPr>
  </w:style>
  <w:style w:type="paragraph" w:customStyle="1" w:styleId="a0">
    <w:name w:val="متن"/>
    <w:basedOn w:val="Normal"/>
    <w:link w:val="Char0"/>
    <w:qFormat/>
    <w:rsid w:val="00A07F2B"/>
    <w:pPr>
      <w:tabs>
        <w:tab w:val="left" w:pos="567"/>
      </w:tabs>
      <w:spacing w:after="0" w:line="360" w:lineRule="auto"/>
      <w:ind w:firstLine="425"/>
      <w:jc w:val="both"/>
    </w:pPr>
    <w:rPr>
      <w:rFonts w:ascii="Times New Roman" w:eastAsia="Times New Roman" w:hAnsi="Times New Roman" w:cs="B Nazanin"/>
      <w:szCs w:val="26"/>
    </w:rPr>
  </w:style>
  <w:style w:type="paragraph" w:customStyle="1" w:styleId="a1">
    <w:name w:val="پانویس"/>
    <w:basedOn w:val="FootnoteText"/>
    <w:link w:val="Char1"/>
    <w:qFormat/>
    <w:rsid w:val="00A07F2B"/>
    <w:pPr>
      <w:suppressLineNumbers/>
      <w:bidi w:val="0"/>
    </w:pPr>
    <w:rPr>
      <w:rFonts w:ascii="Times New Roman" w:hAnsi="Times New Roman" w:cs="B Nazanin"/>
    </w:rPr>
  </w:style>
  <w:style w:type="character" w:customStyle="1" w:styleId="Char0">
    <w:name w:val="متن Char"/>
    <w:basedOn w:val="DefaultParagraphFont"/>
    <w:link w:val="a0"/>
    <w:rsid w:val="00A07F2B"/>
    <w:rPr>
      <w:rFonts w:ascii="Times New Roman" w:eastAsia="Times New Roman" w:hAnsi="Times New Roman" w:cs="B Nazanin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A07F2B"/>
    <w:pPr>
      <w:spacing w:before="240" w:after="0" w:line="240" w:lineRule="auto"/>
      <w:jc w:val="center"/>
    </w:pPr>
    <w:rPr>
      <w:rFonts w:ascii="Times New Roman" w:hAnsi="Times New Roman" w:cs="B Nazanin"/>
      <w:szCs w:val="24"/>
    </w:rPr>
  </w:style>
  <w:style w:type="character" w:customStyle="1" w:styleId="Char1">
    <w:name w:val="پانویس Char"/>
    <w:basedOn w:val="FootnoteTextChar"/>
    <w:link w:val="a1"/>
    <w:rsid w:val="00A07F2B"/>
    <w:rPr>
      <w:rFonts w:ascii="Times New Roman" w:hAnsi="Times New Roman" w:cs="B Nazanin"/>
      <w:sz w:val="20"/>
      <w:szCs w:val="20"/>
    </w:rPr>
  </w:style>
  <w:style w:type="paragraph" w:customStyle="1" w:styleId="a2">
    <w:name w:val="شماره‌گذاری داخل متن"/>
    <w:basedOn w:val="Normal"/>
    <w:link w:val="Char2"/>
    <w:qFormat/>
    <w:rsid w:val="00A07F2B"/>
    <w:pPr>
      <w:spacing w:after="0" w:line="360" w:lineRule="auto"/>
      <w:ind w:left="425"/>
      <w:jc w:val="both"/>
    </w:pPr>
    <w:rPr>
      <w:rFonts w:ascii="Times New Roman" w:eastAsia="Times New Roman" w:hAnsi="Times New Roman" w:cs="B Nazanin"/>
      <w:szCs w:val="26"/>
      <w:lang w:bidi="ar-SA"/>
    </w:rPr>
  </w:style>
  <w:style w:type="character" w:customStyle="1" w:styleId="Char2">
    <w:name w:val="شماره‌گذاری داخل متن Char"/>
    <w:basedOn w:val="DefaultParagraphFont"/>
    <w:link w:val="a2"/>
    <w:rsid w:val="00A07F2B"/>
    <w:rPr>
      <w:rFonts w:ascii="Times New Roman" w:eastAsia="Times New Roman" w:hAnsi="Times New Roman" w:cs="B Nazanin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14B59-401E-4738-A44B-AA234772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21</cp:revision>
  <dcterms:created xsi:type="dcterms:W3CDTF">2016-06-11T14:49:00Z</dcterms:created>
  <dcterms:modified xsi:type="dcterms:W3CDTF">2016-09-23T08:43:00Z</dcterms:modified>
</cp:coreProperties>
</file>